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binary" PartName="/gd/metadata"/>
  <Override ContentType="application/binary" PartName="/gd/snapshot"/>
  <Override ContentType="application/binary" PartName="/gd/signature"/>
  <Override ContentType="application/binary" PartName="/gd/debuginfo"/>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Rule="auto"/>
        <w:ind w:left="0" w:firstLine="0"/>
        <w:jc w:val="center"/>
        <w:rPr>
          <w:rFonts w:ascii="Open Sans" w:cs="Open Sans" w:eastAsia="Open Sans" w:hAnsi="Open Sans"/>
          <w:b w:val="1"/>
          <w:color w:val="313335"/>
        </w:rPr>
      </w:pPr>
      <w:r w:rsidDel="00000000" w:rsidR="00000000" w:rsidRPr="00000000">
        <w:rPr>
          <w:rFonts w:ascii="Open Sans" w:cs="Open Sans" w:eastAsia="Open Sans" w:hAnsi="Open Sans"/>
          <w:b w:val="1"/>
          <w:color w:val="313335"/>
          <w:rtl w:val="0"/>
        </w:rPr>
        <w:t xml:space="preserve">Article 2</w:t>
      </w:r>
    </w:p>
    <w:p w:rsidR="00000000" w:rsidDel="00000000" w:rsidP="00000000" w:rsidRDefault="00000000" w:rsidRPr="00000000" w14:paraId="00000002">
      <w:pPr>
        <w:shd w:fill="ffffff" w:val="clear"/>
        <w:spacing w:after="200" w:lineRule="auto"/>
        <w:rPr>
          <w:rFonts w:ascii="Open Sans" w:cs="Open Sans" w:eastAsia="Open Sans" w:hAnsi="Open Sans"/>
          <w:color w:val="ff0000"/>
        </w:rPr>
      </w:pPr>
      <w:r w:rsidDel="00000000" w:rsidR="00000000" w:rsidRPr="00000000">
        <w:rPr>
          <w:rFonts w:ascii="Open Sans" w:cs="Open Sans" w:eastAsia="Open Sans" w:hAnsi="Open Sans"/>
          <w:b w:val="1"/>
          <w:color w:val="ff0000"/>
          <w:rtl w:val="0"/>
        </w:rPr>
        <w:t xml:space="preserve">FAR.</w:t>
      </w:r>
      <w:r w:rsidDel="00000000" w:rsidR="00000000" w:rsidRPr="00000000">
        <w:rPr>
          <w:rFonts w:ascii="Open Sans" w:cs="Open Sans" w:eastAsia="Open Sans" w:hAnsi="Open Sans"/>
          <w:color w:val="ff0000"/>
          <w:rtl w:val="0"/>
        </w:rPr>
        <w:t xml:space="preserve"> Floor area ratio.</w:t>
      </w:r>
    </w:p>
    <w:p w:rsidR="00000000" w:rsidDel="00000000" w:rsidP="00000000" w:rsidRDefault="00000000" w:rsidRPr="00000000" w14:paraId="00000003">
      <w:pPr>
        <w:shd w:fill="ffffff" w:val="clear"/>
        <w:spacing w:after="200" w:lineRule="auto"/>
        <w:rPr>
          <w:rFonts w:ascii="Open Sans" w:cs="Open Sans" w:eastAsia="Open Sans" w:hAnsi="Open Sans"/>
          <w:color w:val="ff0000"/>
        </w:rPr>
      </w:pPr>
      <w:r w:rsidDel="00000000" w:rsidR="00000000" w:rsidRPr="00000000">
        <w:rPr>
          <w:rFonts w:ascii="Open Sans" w:cs="Open Sans" w:eastAsia="Open Sans" w:hAnsi="Open Sans"/>
          <w:b w:val="1"/>
          <w:color w:val="ff0000"/>
          <w:rtl w:val="0"/>
        </w:rPr>
        <w:t xml:space="preserve">Filled Tidelands.</w:t>
      </w:r>
      <w:r w:rsidDel="00000000" w:rsidR="00000000" w:rsidRPr="00000000">
        <w:rPr>
          <w:rFonts w:ascii="Open Sans" w:cs="Open Sans" w:eastAsia="Open Sans" w:hAnsi="Open Sans"/>
          <w:color w:val="ff0000"/>
          <w:rtl w:val="0"/>
        </w:rPr>
        <w:t xml:space="preserve"> Former submerged lands and tidal flats which are no longer subject to tidal action due to the presence of fill.</w:t>
      </w:r>
    </w:p>
    <w:p w:rsidR="00000000" w:rsidDel="00000000" w:rsidP="00000000" w:rsidRDefault="00000000" w:rsidRPr="00000000" w14:paraId="00000004">
      <w:pPr>
        <w:shd w:fill="ffffff" w:val="clear"/>
        <w:spacing w:after="200" w:lineRule="auto"/>
        <w:ind w:left="0" w:firstLine="0"/>
        <w:rPr>
          <w:rFonts w:ascii="Open Sans" w:cs="Open Sans" w:eastAsia="Open Sans" w:hAnsi="Open Sans"/>
          <w:strike w:val="1"/>
          <w:color w:val="ff0000"/>
        </w:rPr>
      </w:pPr>
      <w:r w:rsidDel="00000000" w:rsidR="00000000" w:rsidRPr="00000000">
        <w:rPr>
          <w:rFonts w:ascii="Open Sans" w:cs="Open Sans" w:eastAsia="Open Sans" w:hAnsi="Open Sans"/>
          <w:b w:val="1"/>
          <w:strike w:val="1"/>
          <w:color w:val="ff0000"/>
          <w:rtl w:val="0"/>
        </w:rPr>
        <w:t xml:space="preserve">Floor area ratio. </w:t>
      </w:r>
      <w:r w:rsidDel="00000000" w:rsidR="00000000" w:rsidRPr="00000000">
        <w:rPr>
          <w:rFonts w:ascii="Open Sans" w:cs="Open Sans" w:eastAsia="Open Sans" w:hAnsi="Open Sans"/>
          <w:strike w:val="1"/>
          <w:color w:val="ff0000"/>
          <w:rtl w:val="0"/>
        </w:rPr>
        <w:t xml:space="preserve">The ratio of gross floor area of a structure to the total area of the lot. </w:t>
      </w:r>
    </w:p>
    <w:p w:rsidR="00000000" w:rsidDel="00000000" w:rsidP="00000000" w:rsidRDefault="00000000" w:rsidRPr="00000000" w14:paraId="00000005">
      <w:pPr>
        <w:shd w:fill="ffffff" w:val="clear"/>
        <w:spacing w:after="200" w:lineRule="auto"/>
        <w:ind w:left="0" w:firstLine="0"/>
        <w:rPr>
          <w:rFonts w:ascii="Open Sans" w:cs="Open Sans" w:eastAsia="Open Sans" w:hAnsi="Open Sans"/>
          <w:color w:val="ff0000"/>
        </w:rPr>
      </w:pPr>
      <w:r w:rsidDel="00000000" w:rsidR="00000000" w:rsidRPr="00000000">
        <w:rPr>
          <w:rFonts w:ascii="Open Sans" w:cs="Open Sans" w:eastAsia="Open Sans" w:hAnsi="Open Sans"/>
          <w:b w:val="1"/>
          <w:color w:val="ff0000"/>
          <w:rtl w:val="0"/>
        </w:rPr>
        <w:t xml:space="preserve">Floor Area Ratio.</w:t>
      </w:r>
      <w:r w:rsidDel="00000000" w:rsidR="00000000" w:rsidRPr="00000000">
        <w:rPr>
          <w:rFonts w:ascii="Open Sans" w:cs="Open Sans" w:eastAsia="Open Sans" w:hAnsi="Open Sans"/>
          <w:color w:val="ff0000"/>
          <w:rtl w:val="0"/>
        </w:rPr>
        <w:t xml:space="preserve"> </w:t>
      </w:r>
      <w:r w:rsidDel="00000000" w:rsidR="00000000" w:rsidRPr="00000000">
        <w:rPr>
          <w:rFonts w:ascii="Open Sans" w:cs="Open Sans" w:eastAsia="Open Sans" w:hAnsi="Open Sans"/>
          <w:color w:val="ff0000"/>
          <w:rtl w:val="0"/>
        </w:rPr>
        <w:t xml:space="preserve">The</w:t>
      </w:r>
      <w:r w:rsidDel="00000000" w:rsidR="00000000" w:rsidRPr="00000000">
        <w:rPr>
          <w:rFonts w:ascii="Open Sans" w:cs="Open Sans" w:eastAsia="Open Sans" w:hAnsi="Open Sans"/>
          <w:color w:val="ff0000"/>
          <w:rtl w:val="0"/>
        </w:rPr>
        <w:t xml:space="preserve"> ratio of gross floor area of a structure to the total area of the lot. </w:t>
      </w:r>
      <w:r w:rsidDel="00000000" w:rsidR="00000000" w:rsidRPr="00000000">
        <w:rPr>
          <w:rFonts w:ascii="Open Sans" w:cs="Open Sans" w:eastAsia="Open Sans" w:hAnsi="Open Sans"/>
          <w:color w:val="ff0000"/>
          <w:rtl w:val="0"/>
        </w:rPr>
        <w:t xml:space="preserve">Except as otherwise provided in this Code, the ratio which the gross floor area of all structures on a lot exclusive of floor area required to meet the off-street parking requirements of this Code bears to the area of the lot shall not exceed the maximum floor area ratio specified in this Code. In calculating the area of the lot for the purpose of determining floor area ratio, the following parts of the lot shall be excluded:</w:t>
      </w:r>
    </w:p>
    <w:p w:rsidR="00000000" w:rsidDel="00000000" w:rsidP="00000000" w:rsidRDefault="00000000" w:rsidRPr="00000000" w14:paraId="00000006">
      <w:pPr>
        <w:shd w:fill="ffffff" w:val="clear"/>
        <w:spacing w:after="200" w:lineRule="auto"/>
        <w:ind w:left="720" w:firstLine="0"/>
        <w:rPr>
          <w:rFonts w:ascii="Open Sans" w:cs="Open Sans" w:eastAsia="Open Sans" w:hAnsi="Open Sans"/>
          <w:color w:val="ff0000"/>
        </w:rPr>
      </w:pPr>
      <w:r w:rsidDel="00000000" w:rsidR="00000000" w:rsidRPr="00000000">
        <w:rPr>
          <w:rFonts w:ascii="Open Sans" w:cs="Open Sans" w:eastAsia="Open Sans" w:hAnsi="Open Sans"/>
          <w:color w:val="ff0000"/>
          <w:rtl w:val="0"/>
        </w:rPr>
        <w:t xml:space="preserve">(a) every part required by any other structure or use to comply with any requirements of this Code, and</w:t>
      </w:r>
    </w:p>
    <w:p w:rsidR="00000000" w:rsidDel="00000000" w:rsidP="00000000" w:rsidRDefault="00000000" w:rsidRPr="00000000" w14:paraId="00000007">
      <w:pPr>
        <w:shd w:fill="ffffff" w:val="clear"/>
        <w:spacing w:after="200" w:lineRule="auto"/>
        <w:ind w:left="720" w:firstLine="0"/>
        <w:rPr>
          <w:rFonts w:ascii="Open Sans" w:cs="Open Sans" w:eastAsia="Open Sans" w:hAnsi="Open Sans"/>
          <w:color w:val="ff0000"/>
        </w:rPr>
      </w:pPr>
      <w:r w:rsidDel="00000000" w:rsidR="00000000" w:rsidRPr="00000000">
        <w:rPr>
          <w:rFonts w:ascii="Open Sans" w:cs="Open Sans" w:eastAsia="Open Sans" w:hAnsi="Open Sans"/>
          <w:color w:val="ff0000"/>
          <w:rtl w:val="0"/>
        </w:rPr>
        <w:t xml:space="preserve">(b) every part the ownership of which is transferred subsequent to the effective date of this Code if such part is required for compliance with the provisions of this Code concerning minimum lot size, lot width, lot frontage, minimum usable open space per dwelling unit, and front yard, side yard, and rear yard inclusive, applicable to the lot from which such transfer is made. (Illustrated in Appendix 2 of this Code.), and</w:t>
      </w:r>
    </w:p>
    <w:p w:rsidR="00000000" w:rsidDel="00000000" w:rsidP="00000000" w:rsidRDefault="00000000" w:rsidRPr="00000000" w14:paraId="00000008">
      <w:pPr>
        <w:shd w:fill="ffffff" w:val="clear"/>
        <w:spacing w:after="200" w:lineRule="auto"/>
        <w:ind w:left="720" w:firstLine="0"/>
        <w:rPr>
          <w:rFonts w:ascii="Open Sans" w:cs="Open Sans" w:eastAsia="Open Sans" w:hAnsi="Open Sans"/>
          <w:color w:val="313335"/>
        </w:rPr>
      </w:pPr>
      <w:r w:rsidDel="00000000" w:rsidR="00000000" w:rsidRPr="00000000">
        <w:rPr>
          <w:rFonts w:ascii="Open Sans" w:cs="Open Sans" w:eastAsia="Open Sans" w:hAnsi="Open Sans"/>
          <w:color w:val="ff0000"/>
          <w:rtl w:val="0"/>
        </w:rPr>
        <w:t xml:space="preserve">(c) any area of water and associated submerged land or tidal flat lying below the high water mark of any navigable river or stream, any Great Pond, or any portion of the Atlantic Ocean within Boston</w:t>
      </w:r>
      <w:r w:rsidDel="00000000" w:rsidR="00000000" w:rsidRPr="00000000">
        <w:rPr>
          <w:rtl w:val="0"/>
        </w:rPr>
      </w:r>
    </w:p>
    <w:p w:rsidR="00000000" w:rsidDel="00000000" w:rsidP="00000000" w:rsidRDefault="00000000" w:rsidRPr="00000000" w14:paraId="00000009">
      <w:pPr>
        <w:shd w:fill="ffffff" w:val="clear"/>
        <w:spacing w:after="200" w:lineRule="auto"/>
        <w:ind w:left="0" w:firstLine="0"/>
        <w:rPr>
          <w:rFonts w:ascii="Open Sans" w:cs="Open Sans" w:eastAsia="Open Sans" w:hAnsi="Open Sans"/>
          <w:color w:val="313335"/>
        </w:rPr>
      </w:pPr>
      <w:r w:rsidDel="00000000" w:rsidR="00000000" w:rsidRPr="00000000">
        <w:rPr>
          <w:rFonts w:ascii="Open Sans" w:cs="Open Sans" w:eastAsia="Open Sans" w:hAnsi="Open Sans"/>
          <w:b w:val="1"/>
          <w:strike w:val="1"/>
          <w:color w:val="ff0000"/>
          <w:rtl w:val="0"/>
        </w:rPr>
        <w:t xml:space="preserve">Floor area, gross.</w:t>
      </w:r>
      <w:r w:rsidDel="00000000" w:rsidR="00000000" w:rsidRPr="00000000">
        <w:rPr>
          <w:rFonts w:ascii="Open Sans" w:cs="Open Sans" w:eastAsia="Open Sans" w:hAnsi="Open Sans"/>
          <w:b w:val="1"/>
          <w:color w:val="ff0000"/>
          <w:rtl w:val="0"/>
        </w:rPr>
        <w:t xml:space="preserve"> Floor Area, Gross.</w:t>
      </w:r>
      <w:r w:rsidDel="00000000" w:rsidR="00000000" w:rsidRPr="00000000">
        <w:rPr>
          <w:rFonts w:ascii="Open Sans" w:cs="Open Sans" w:eastAsia="Open Sans" w:hAnsi="Open Sans"/>
          <w:color w:val="313335"/>
          <w:rtl w:val="0"/>
        </w:rPr>
        <w:t xml:space="preserve"> The sum of areas of the several floors of the structure, as measured by the exterior faces of the walls, including fully enclosed porches and the like as measured by the exterior limits thereof, but excluding</w:t>
      </w:r>
    </w:p>
    <w:p w:rsidR="00000000" w:rsidDel="00000000" w:rsidP="00000000" w:rsidRDefault="00000000" w:rsidRPr="00000000" w14:paraId="0000000A">
      <w:pPr>
        <w:numPr>
          <w:ilvl w:val="0"/>
          <w:numId w:val="2"/>
        </w:numPr>
        <w:shd w:fill="ffffff" w:val="clear"/>
        <w:spacing w:after="0" w:afterAutospacing="0" w:lineRule="auto"/>
        <w:ind w:left="720" w:right="120" w:hanging="360"/>
        <w:jc w:val="left"/>
        <w:rPr>
          <w:rFonts w:ascii="Open Sans" w:cs="Open Sans" w:eastAsia="Open Sans" w:hAnsi="Open Sans"/>
          <w:color w:val="313335"/>
        </w:rPr>
      </w:pPr>
      <w:r w:rsidDel="00000000" w:rsidR="00000000" w:rsidRPr="00000000">
        <w:rPr>
          <w:rFonts w:ascii="Open Sans" w:cs="Open Sans" w:eastAsia="Open Sans" w:hAnsi="Open Sans"/>
          <w:color w:val="313335"/>
          <w:rtl w:val="0"/>
        </w:rPr>
        <w:t xml:space="preserve">garage space which is in the basement of a building or, in the case of garage space accessory to a dwelling, is at grade,</w:t>
      </w:r>
      <w:r w:rsidDel="00000000" w:rsidR="00000000" w:rsidRPr="00000000">
        <w:rPr>
          <w:rFonts w:ascii="Open Sans" w:cs="Open Sans" w:eastAsia="Open Sans" w:hAnsi="Open Sans"/>
          <w:color w:val="ff0000"/>
          <w:rtl w:val="0"/>
        </w:rPr>
        <w:t xml:space="preserve"> however above grade parking shall be included in gross floor area,</w:t>
      </w:r>
    </w:p>
    <w:p w:rsidR="00000000" w:rsidDel="00000000" w:rsidP="00000000" w:rsidRDefault="00000000" w:rsidRPr="00000000" w14:paraId="0000000B">
      <w:pPr>
        <w:numPr>
          <w:ilvl w:val="0"/>
          <w:numId w:val="2"/>
        </w:numPr>
        <w:shd w:fill="ffffff" w:val="clear"/>
        <w:spacing w:after="0" w:afterAutospacing="0" w:lineRule="auto"/>
        <w:ind w:left="720" w:right="120" w:hanging="360"/>
        <w:jc w:val="left"/>
        <w:rPr>
          <w:rFonts w:ascii="Open Sans" w:cs="Open Sans" w:eastAsia="Open Sans" w:hAnsi="Open Sans"/>
          <w:color w:val="313335"/>
        </w:rPr>
      </w:pPr>
      <w:r w:rsidDel="00000000" w:rsidR="00000000" w:rsidRPr="00000000">
        <w:rPr>
          <w:rFonts w:ascii="Open Sans" w:cs="Open Sans" w:eastAsia="Open Sans" w:hAnsi="Open Sans"/>
          <w:color w:val="313335"/>
          <w:rtl w:val="0"/>
        </w:rPr>
        <w:t xml:space="preserve">basement and cellar areas devoted exclusively to uses accessory to the operation of the structure</w:t>
      </w:r>
      <w:r w:rsidDel="00000000" w:rsidR="00000000" w:rsidRPr="00000000">
        <w:rPr>
          <w:rFonts w:ascii="Open Sans" w:cs="Open Sans" w:eastAsia="Open Sans" w:hAnsi="Open Sans"/>
          <w:strike w:val="1"/>
          <w:color w:val="ff0000"/>
          <w:rtl w:val="0"/>
        </w:rPr>
        <w:t xml:space="preserve">, and</w:t>
      </w:r>
    </w:p>
    <w:p w:rsidR="00000000" w:rsidDel="00000000" w:rsidP="00000000" w:rsidRDefault="00000000" w:rsidRPr="00000000" w14:paraId="0000000C">
      <w:pPr>
        <w:numPr>
          <w:ilvl w:val="0"/>
          <w:numId w:val="2"/>
        </w:numPr>
        <w:shd w:fill="ffffff" w:val="clear"/>
        <w:spacing w:after="0" w:afterAutospacing="0" w:lineRule="auto"/>
        <w:ind w:left="720" w:right="120" w:hanging="360"/>
        <w:jc w:val="left"/>
        <w:rPr>
          <w:rFonts w:ascii="Open Sans" w:cs="Open Sans" w:eastAsia="Open Sans" w:hAnsi="Open Sans"/>
          <w:color w:val="313335"/>
        </w:rPr>
      </w:pPr>
      <w:r w:rsidDel="00000000" w:rsidR="00000000" w:rsidRPr="00000000">
        <w:rPr>
          <w:rFonts w:ascii="Open Sans" w:cs="Open Sans" w:eastAsia="Open Sans" w:hAnsi="Open Sans"/>
          <w:color w:val="313335"/>
          <w:rtl w:val="0"/>
        </w:rPr>
        <w:t xml:space="preserve">areas elsewhere in the structure devoted to housing mechanical equipment customarily located in the basement or cellar such as heating and air conditioning equipment, plumbing, electrical equipment, laundry facilities and storage facilities, provided, however, that in an H-2-45, H-2-65, H-3-65, L-2-65 or B-3-65 district no area in an existing structure previously included in gross floor area and no area in any addition to an existing structure, except areas not used or designed to be used for human occupancy, such as attics, basements, cellars or space under sloping eaves, shall be excludable from gross floor area as area for storage facilities or laundry facilities</w:t>
      </w:r>
      <w:r w:rsidDel="00000000" w:rsidR="00000000" w:rsidRPr="00000000">
        <w:rPr>
          <w:rFonts w:ascii="Open Sans" w:cs="Open Sans" w:eastAsia="Open Sans" w:hAnsi="Open Sans"/>
          <w:color w:val="ff0000"/>
          <w:rtl w:val="0"/>
        </w:rPr>
        <w:t xml:space="preserve">, and</w:t>
      </w:r>
    </w:p>
    <w:p w:rsidR="00000000" w:rsidDel="00000000" w:rsidP="00000000" w:rsidRDefault="00000000" w:rsidRPr="00000000" w14:paraId="0000000D">
      <w:pPr>
        <w:numPr>
          <w:ilvl w:val="0"/>
          <w:numId w:val="2"/>
        </w:numPr>
        <w:shd w:fill="ffffff" w:val="clear"/>
        <w:spacing w:after="40" w:lineRule="auto"/>
        <w:ind w:left="720" w:right="120" w:hanging="360"/>
        <w:jc w:val="left"/>
        <w:rPr>
          <w:rFonts w:ascii="Open Sans" w:cs="Open Sans" w:eastAsia="Open Sans" w:hAnsi="Open Sans"/>
          <w:color w:val="ff0000"/>
        </w:rPr>
      </w:pPr>
      <w:r w:rsidDel="00000000" w:rsidR="00000000" w:rsidRPr="00000000">
        <w:rPr>
          <w:rFonts w:ascii="Open Sans" w:cs="Open Sans" w:eastAsia="Open Sans" w:hAnsi="Open Sans"/>
          <w:color w:val="ff0000"/>
          <w:rtl w:val="0"/>
        </w:rPr>
        <w:t xml:space="preserve">public transit improvements by or for a Public Agency within the Lot, above or below grade, including head houses and/or structures designated for use by, access to or egress from public transit services, provided that any exterior changes are subject to Small Project Review.</w:t>
      </w:r>
      <w:r w:rsidDel="00000000" w:rsidR="00000000" w:rsidRPr="00000000">
        <w:rPr>
          <w:rtl w:val="0"/>
        </w:rPr>
      </w:r>
    </w:p>
    <w:p w:rsidR="00000000" w:rsidDel="00000000" w:rsidP="00000000" w:rsidRDefault="00000000" w:rsidRPr="00000000" w14:paraId="0000000E">
      <w:pPr>
        <w:shd w:fill="ffffff" w:val="clear"/>
        <w:spacing w:after="40" w:lineRule="auto"/>
        <w:ind w:left="0" w:right="120" w:firstLine="0"/>
        <w:jc w:val="left"/>
        <w:rPr>
          <w:rFonts w:ascii="Open Sans" w:cs="Open Sans" w:eastAsia="Open Sans" w:hAnsi="Open Sans"/>
          <w:color w:val="313335"/>
        </w:rPr>
      </w:pPr>
      <w:r w:rsidDel="00000000" w:rsidR="00000000" w:rsidRPr="00000000">
        <w:rPr>
          <w:rtl w:val="0"/>
        </w:rPr>
      </w:r>
    </w:p>
    <w:p w:rsidR="00000000" w:rsidDel="00000000" w:rsidP="00000000" w:rsidRDefault="00000000" w:rsidRPr="00000000" w14:paraId="0000000F">
      <w:pPr>
        <w:spacing w:line="240" w:lineRule="auto"/>
        <w:ind w:left="0" w:firstLine="0"/>
        <w:rPr>
          <w:rFonts w:ascii="Open Sans" w:cs="Open Sans" w:eastAsia="Open Sans" w:hAnsi="Open Sans"/>
          <w:color w:val="ff0000"/>
        </w:rPr>
      </w:pPr>
      <w:r w:rsidDel="00000000" w:rsidR="00000000" w:rsidRPr="00000000">
        <w:rPr>
          <w:rFonts w:ascii="Open Sans" w:cs="Open Sans" w:eastAsia="Open Sans" w:hAnsi="Open Sans"/>
          <w:b w:val="1"/>
          <w:color w:val="ff0000"/>
          <w:rtl w:val="0"/>
        </w:rPr>
        <w:t xml:space="preserve">Flowed Tidelands. </w:t>
      </w:r>
      <w:r w:rsidDel="00000000" w:rsidR="00000000" w:rsidRPr="00000000">
        <w:rPr>
          <w:rFonts w:ascii="Open Sans" w:cs="Open Sans" w:eastAsia="Open Sans" w:hAnsi="Open Sans"/>
          <w:color w:val="ff0000"/>
          <w:rtl w:val="0"/>
        </w:rPr>
        <w:t xml:space="preserve">Present submerged lands and tidal flats which are subject to tidal action at the time of license application under Chapter 91.</w:t>
      </w:r>
    </w:p>
    <w:p w:rsidR="00000000" w:rsidDel="00000000" w:rsidP="00000000" w:rsidRDefault="00000000" w:rsidRPr="00000000" w14:paraId="00000010">
      <w:pPr>
        <w:rPr>
          <w:rFonts w:ascii="Open Sans" w:cs="Open Sans" w:eastAsia="Open Sans" w:hAnsi="Open Sans"/>
        </w:rPr>
      </w:pPr>
      <w:r w:rsidDel="00000000" w:rsidR="00000000" w:rsidRPr="00000000">
        <w:rPr>
          <w:rtl w:val="0"/>
        </w:rPr>
      </w:r>
    </w:p>
    <w:p w:rsidR="00000000" w:rsidDel="00000000" w:rsidP="00000000" w:rsidRDefault="00000000" w:rsidRPr="00000000" w14:paraId="00000011">
      <w:pPr>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Article 2a</w:t>
      </w:r>
    </w:p>
    <w:p w:rsidR="00000000" w:rsidDel="00000000" w:rsidP="00000000" w:rsidRDefault="00000000" w:rsidRPr="00000000" w14:paraId="00000012">
      <w:pPr>
        <w:rPr>
          <w:rFonts w:ascii="Open Sans" w:cs="Open Sans" w:eastAsia="Open Sans" w:hAnsi="Open Sans"/>
        </w:rPr>
      </w:pPr>
      <w:r w:rsidDel="00000000" w:rsidR="00000000" w:rsidRPr="00000000">
        <w:rPr>
          <w:rtl w:val="0"/>
        </w:rPr>
      </w:r>
    </w:p>
    <w:p w:rsidR="00000000" w:rsidDel="00000000" w:rsidP="00000000" w:rsidRDefault="00000000" w:rsidRPr="00000000" w14:paraId="00000013">
      <w:pPr>
        <w:shd w:fill="ffffff" w:val="clear"/>
        <w:spacing w:after="200" w:lineRule="auto"/>
        <w:ind w:left="0" w:firstLine="0"/>
        <w:rPr>
          <w:rFonts w:ascii="Open Sans" w:cs="Open Sans" w:eastAsia="Open Sans" w:hAnsi="Open Sans"/>
          <w:color w:val="313335"/>
        </w:rPr>
      </w:pPr>
      <w:r w:rsidDel="00000000" w:rsidR="00000000" w:rsidRPr="00000000">
        <w:rPr>
          <w:rFonts w:ascii="Open Sans" w:cs="Open Sans" w:eastAsia="Open Sans" w:hAnsi="Open Sans"/>
          <w:b w:val="1"/>
          <w:color w:val="313335"/>
          <w:rtl w:val="0"/>
        </w:rPr>
        <w:t xml:space="preserve">FAR</w:t>
      </w:r>
      <w:r w:rsidDel="00000000" w:rsidR="00000000" w:rsidRPr="00000000">
        <w:rPr>
          <w:rFonts w:ascii="Open Sans" w:cs="Open Sans" w:eastAsia="Open Sans" w:hAnsi="Open Sans"/>
          <w:b w:val="1"/>
          <w:color w:val="313335"/>
          <w:rtl w:val="0"/>
        </w:rPr>
        <w:t xml:space="preserve">.</w:t>
      </w:r>
      <w:r w:rsidDel="00000000" w:rsidR="00000000" w:rsidRPr="00000000">
        <w:rPr>
          <w:rFonts w:ascii="Open Sans" w:cs="Open Sans" w:eastAsia="Open Sans" w:hAnsi="Open Sans"/>
          <w:color w:val="313335"/>
          <w:rtl w:val="0"/>
        </w:rPr>
        <w:t xml:space="preserve"> Floor area ratio.</w:t>
      </w:r>
    </w:p>
    <w:p w:rsidR="00000000" w:rsidDel="00000000" w:rsidP="00000000" w:rsidRDefault="00000000" w:rsidRPr="00000000" w14:paraId="00000014">
      <w:pPr>
        <w:shd w:fill="ffffff" w:val="clear"/>
        <w:spacing w:after="200" w:lineRule="auto"/>
        <w:ind w:left="0" w:firstLine="0"/>
        <w:rPr>
          <w:rFonts w:ascii="Open Sans" w:cs="Open Sans" w:eastAsia="Open Sans" w:hAnsi="Open Sans"/>
          <w:color w:val="313335"/>
        </w:rPr>
      </w:pPr>
      <w:r w:rsidDel="00000000" w:rsidR="00000000" w:rsidRPr="00000000">
        <w:rPr>
          <w:rFonts w:ascii="Open Sans" w:cs="Open Sans" w:eastAsia="Open Sans" w:hAnsi="Open Sans"/>
          <w:b w:val="1"/>
          <w:color w:val="313335"/>
          <w:rtl w:val="0"/>
        </w:rPr>
        <w:t xml:space="preserve">Filled Tidelands.</w:t>
      </w:r>
      <w:r w:rsidDel="00000000" w:rsidR="00000000" w:rsidRPr="00000000">
        <w:rPr>
          <w:rFonts w:ascii="Open Sans" w:cs="Open Sans" w:eastAsia="Open Sans" w:hAnsi="Open Sans"/>
          <w:color w:val="313335"/>
          <w:rtl w:val="0"/>
        </w:rPr>
        <w:t xml:space="preserve"> Former submerged lands and tidal flats which are no longer subject to tidal action due to the presence of fill.</w:t>
      </w:r>
    </w:p>
    <w:p w:rsidR="00000000" w:rsidDel="00000000" w:rsidP="00000000" w:rsidRDefault="00000000" w:rsidRPr="00000000" w14:paraId="00000015">
      <w:pPr>
        <w:shd w:fill="ffffff" w:val="clear"/>
        <w:spacing w:after="200" w:lineRule="auto"/>
        <w:ind w:left="0" w:firstLine="0"/>
        <w:rPr>
          <w:rFonts w:ascii="Open Sans" w:cs="Open Sans" w:eastAsia="Open Sans" w:hAnsi="Open Sans"/>
          <w:color w:val="313335"/>
        </w:rPr>
      </w:pPr>
      <w:r w:rsidDel="00000000" w:rsidR="00000000" w:rsidRPr="00000000">
        <w:rPr>
          <w:rFonts w:ascii="Open Sans" w:cs="Open Sans" w:eastAsia="Open Sans" w:hAnsi="Open Sans"/>
          <w:b w:val="1"/>
          <w:color w:val="313335"/>
          <w:rtl w:val="0"/>
        </w:rPr>
        <w:t xml:space="preserve">Floor Area, Gross.</w:t>
      </w:r>
      <w:r w:rsidDel="00000000" w:rsidR="00000000" w:rsidRPr="00000000">
        <w:rPr>
          <w:rFonts w:ascii="Open Sans" w:cs="Open Sans" w:eastAsia="Open Sans" w:hAnsi="Open Sans"/>
          <w:color w:val="313335"/>
          <w:rtl w:val="0"/>
        </w:rPr>
        <w:t xml:space="preserve"> The sum of areas of the several floors of the structure, as measured by the exterior faces of the walls, including fully enclosed porches and the like as measured by the exterior limits thereof, but excluding</w:t>
      </w:r>
    </w:p>
    <w:p w:rsidR="00000000" w:rsidDel="00000000" w:rsidP="00000000" w:rsidRDefault="00000000" w:rsidRPr="00000000" w14:paraId="00000016">
      <w:pPr>
        <w:numPr>
          <w:ilvl w:val="0"/>
          <w:numId w:val="3"/>
        </w:numPr>
        <w:shd w:fill="ffffff" w:val="clear"/>
        <w:spacing w:after="0" w:afterAutospacing="0" w:lineRule="auto"/>
        <w:ind w:left="720" w:right="120" w:hanging="360"/>
        <w:jc w:val="left"/>
        <w:rPr>
          <w:rFonts w:ascii="Open Sans" w:cs="Open Sans" w:eastAsia="Open Sans" w:hAnsi="Open Sans"/>
          <w:color w:val="313335"/>
        </w:rPr>
      </w:pPr>
      <w:r w:rsidDel="00000000" w:rsidR="00000000" w:rsidRPr="00000000">
        <w:rPr>
          <w:rFonts w:ascii="Open Sans" w:cs="Open Sans" w:eastAsia="Open Sans" w:hAnsi="Open Sans"/>
          <w:color w:val="313335"/>
          <w:rtl w:val="0"/>
        </w:rPr>
        <w:t xml:space="preserve">garage space which is in the basement of a building or, in the case of garage space accessory to a dwelling, is at grade,</w:t>
      </w:r>
      <w:r w:rsidDel="00000000" w:rsidR="00000000" w:rsidRPr="00000000">
        <w:rPr>
          <w:rFonts w:ascii="Open Sans" w:cs="Open Sans" w:eastAsia="Open Sans" w:hAnsi="Open Sans"/>
          <w:color w:val="ff0000"/>
          <w:rtl w:val="0"/>
        </w:rPr>
        <w:t xml:space="preserve"> however above grade parking shall be included in gross floor area,</w:t>
      </w:r>
    </w:p>
    <w:p w:rsidR="00000000" w:rsidDel="00000000" w:rsidP="00000000" w:rsidRDefault="00000000" w:rsidRPr="00000000" w14:paraId="00000017">
      <w:pPr>
        <w:numPr>
          <w:ilvl w:val="0"/>
          <w:numId w:val="3"/>
        </w:numPr>
        <w:shd w:fill="ffffff" w:val="clear"/>
        <w:spacing w:after="0" w:afterAutospacing="0" w:lineRule="auto"/>
        <w:ind w:left="720" w:right="120" w:hanging="360"/>
        <w:jc w:val="left"/>
        <w:rPr>
          <w:rFonts w:ascii="Open Sans" w:cs="Open Sans" w:eastAsia="Open Sans" w:hAnsi="Open Sans"/>
          <w:color w:val="313335"/>
        </w:rPr>
      </w:pPr>
      <w:r w:rsidDel="00000000" w:rsidR="00000000" w:rsidRPr="00000000">
        <w:rPr>
          <w:rFonts w:ascii="Open Sans" w:cs="Open Sans" w:eastAsia="Open Sans" w:hAnsi="Open Sans"/>
          <w:color w:val="313335"/>
          <w:rtl w:val="0"/>
        </w:rPr>
        <w:t xml:space="preserve">basement and cellar areas devoted exclusively to uses accessory to the operation of the structure,</w:t>
      </w:r>
    </w:p>
    <w:p w:rsidR="00000000" w:rsidDel="00000000" w:rsidP="00000000" w:rsidRDefault="00000000" w:rsidRPr="00000000" w14:paraId="00000018">
      <w:pPr>
        <w:numPr>
          <w:ilvl w:val="0"/>
          <w:numId w:val="3"/>
        </w:numPr>
        <w:shd w:fill="ffffff" w:val="clear"/>
        <w:spacing w:after="0" w:afterAutospacing="0" w:lineRule="auto"/>
        <w:ind w:left="720" w:right="120" w:hanging="360"/>
        <w:jc w:val="left"/>
        <w:rPr>
          <w:rFonts w:ascii="Open Sans" w:cs="Open Sans" w:eastAsia="Open Sans" w:hAnsi="Open Sans"/>
          <w:color w:val="313335"/>
        </w:rPr>
      </w:pPr>
      <w:r w:rsidDel="00000000" w:rsidR="00000000" w:rsidRPr="00000000">
        <w:rPr>
          <w:rFonts w:ascii="Open Sans" w:cs="Open Sans" w:eastAsia="Open Sans" w:hAnsi="Open Sans"/>
          <w:color w:val="313335"/>
          <w:rtl w:val="0"/>
        </w:rPr>
        <w:t xml:space="preserve">areas elsewhere in the structure devoted to housing mechanical equipment customarily located in the basement or cellar such as heating and air conditioning equipment, plumbing, electrical equipment, laundry facilities and storage facilities, and</w:t>
      </w:r>
    </w:p>
    <w:p w:rsidR="00000000" w:rsidDel="00000000" w:rsidP="00000000" w:rsidRDefault="00000000" w:rsidRPr="00000000" w14:paraId="00000019">
      <w:pPr>
        <w:numPr>
          <w:ilvl w:val="0"/>
          <w:numId w:val="3"/>
        </w:numPr>
        <w:shd w:fill="ffffff" w:val="clear"/>
        <w:spacing w:after="40" w:lineRule="auto"/>
        <w:ind w:left="720" w:right="120" w:hanging="360"/>
        <w:jc w:val="left"/>
        <w:rPr>
          <w:rFonts w:ascii="Open Sans" w:cs="Open Sans" w:eastAsia="Open Sans" w:hAnsi="Open Sans"/>
          <w:color w:val="313335"/>
        </w:rPr>
      </w:pPr>
      <w:r w:rsidDel="00000000" w:rsidR="00000000" w:rsidRPr="00000000">
        <w:rPr>
          <w:rFonts w:ascii="Open Sans" w:cs="Open Sans" w:eastAsia="Open Sans" w:hAnsi="Open Sans"/>
          <w:color w:val="313335"/>
          <w:rtl w:val="0"/>
        </w:rPr>
        <w:t xml:space="preserve">public transit improvements by or for a Public Agency within the Lot, above or below grade, including head houses and/or structures designated for use by, access to or egress from public transit services, provided that any exterior changes are subject to Small Project Review.</w:t>
      </w:r>
      <w:r w:rsidDel="00000000" w:rsidR="00000000" w:rsidRPr="00000000">
        <w:rPr>
          <w:rtl w:val="0"/>
        </w:rPr>
      </w:r>
    </w:p>
    <w:p w:rsidR="00000000" w:rsidDel="00000000" w:rsidP="00000000" w:rsidRDefault="00000000" w:rsidRPr="00000000" w14:paraId="0000001A">
      <w:pPr>
        <w:shd w:fill="ffffff" w:val="clear"/>
        <w:spacing w:after="40" w:lineRule="auto"/>
        <w:ind w:left="720" w:right="120" w:firstLine="0"/>
        <w:jc w:val="left"/>
        <w:rPr>
          <w:rFonts w:ascii="Open Sans" w:cs="Open Sans" w:eastAsia="Open Sans" w:hAnsi="Open Sans"/>
          <w:color w:val="313335"/>
        </w:rPr>
      </w:pPr>
      <w:r w:rsidDel="00000000" w:rsidR="00000000" w:rsidRPr="00000000">
        <w:rPr>
          <w:rtl w:val="0"/>
        </w:rPr>
      </w:r>
    </w:p>
    <w:p w:rsidR="00000000" w:rsidDel="00000000" w:rsidP="00000000" w:rsidRDefault="00000000" w:rsidRPr="00000000" w14:paraId="0000001B">
      <w:pPr>
        <w:shd w:fill="ffffff" w:val="clear"/>
        <w:spacing w:after="200" w:lineRule="auto"/>
        <w:ind w:left="0" w:firstLine="0"/>
        <w:rPr>
          <w:rFonts w:ascii="Open Sans" w:cs="Open Sans" w:eastAsia="Open Sans" w:hAnsi="Open Sans"/>
          <w:color w:val="313335"/>
        </w:rPr>
      </w:pPr>
      <w:r w:rsidDel="00000000" w:rsidR="00000000" w:rsidRPr="00000000">
        <w:rPr>
          <w:rFonts w:ascii="Open Sans" w:cs="Open Sans" w:eastAsia="Open Sans" w:hAnsi="Open Sans"/>
          <w:b w:val="1"/>
          <w:color w:val="313335"/>
          <w:rtl w:val="0"/>
        </w:rPr>
        <w:t xml:space="preserve">Floor Area Ratio.</w:t>
      </w:r>
      <w:r w:rsidDel="00000000" w:rsidR="00000000" w:rsidRPr="00000000">
        <w:rPr>
          <w:rFonts w:ascii="Open Sans" w:cs="Open Sans" w:eastAsia="Open Sans" w:hAnsi="Open Sans"/>
          <w:color w:val="313335"/>
          <w:rtl w:val="0"/>
        </w:rPr>
        <w:t xml:space="preserve"> The ratio of gross floor area of a structure to the total area of the lot. Except as otherwise provided in this Code, the ratio which the gross floor area of all structures on a lot exclusive of floor area required to meet the off-street parking requirements of this Code bears to the area of the lot shall not exceed the maximum floor area ratio specified in this Code. In calculating the area of the lot for the purpose of determining floor area ratio, the following parts of the lot shall be excluded:</w:t>
      </w:r>
    </w:p>
    <w:p w:rsidR="00000000" w:rsidDel="00000000" w:rsidP="00000000" w:rsidRDefault="00000000" w:rsidRPr="00000000" w14:paraId="0000001C">
      <w:pPr>
        <w:numPr>
          <w:ilvl w:val="0"/>
          <w:numId w:val="1"/>
        </w:numPr>
        <w:shd w:fill="ffffff" w:val="clear"/>
        <w:spacing w:after="0" w:afterAutospacing="0" w:lineRule="auto"/>
        <w:ind w:left="720" w:right="120" w:hanging="360"/>
        <w:jc w:val="left"/>
        <w:rPr>
          <w:rFonts w:ascii="Open Sans" w:cs="Open Sans" w:eastAsia="Open Sans" w:hAnsi="Open Sans"/>
          <w:color w:val="313335"/>
        </w:rPr>
      </w:pPr>
      <w:r w:rsidDel="00000000" w:rsidR="00000000" w:rsidRPr="00000000">
        <w:rPr>
          <w:rFonts w:ascii="Open Sans" w:cs="Open Sans" w:eastAsia="Open Sans" w:hAnsi="Open Sans"/>
          <w:color w:val="313335"/>
          <w:rtl w:val="0"/>
        </w:rPr>
        <w:t xml:space="preserve">every part required by any other structure or use to comply with any requirements of this Code, and</w:t>
      </w:r>
    </w:p>
    <w:p w:rsidR="00000000" w:rsidDel="00000000" w:rsidP="00000000" w:rsidRDefault="00000000" w:rsidRPr="00000000" w14:paraId="0000001D">
      <w:pPr>
        <w:numPr>
          <w:ilvl w:val="0"/>
          <w:numId w:val="1"/>
        </w:numPr>
        <w:shd w:fill="ffffff" w:val="clear"/>
        <w:spacing w:after="0" w:afterAutospacing="0" w:lineRule="auto"/>
        <w:ind w:left="720" w:right="120" w:hanging="360"/>
        <w:jc w:val="left"/>
        <w:rPr>
          <w:rFonts w:ascii="Open Sans" w:cs="Open Sans" w:eastAsia="Open Sans" w:hAnsi="Open Sans"/>
          <w:color w:val="313335"/>
        </w:rPr>
      </w:pPr>
      <w:r w:rsidDel="00000000" w:rsidR="00000000" w:rsidRPr="00000000">
        <w:rPr>
          <w:rFonts w:ascii="Open Sans" w:cs="Open Sans" w:eastAsia="Open Sans" w:hAnsi="Open Sans"/>
          <w:color w:val="313335"/>
          <w:rtl w:val="0"/>
        </w:rPr>
        <w:t xml:space="preserve">every part the ownership of which is transferred subsequent to the effective date of this Code if such part is required for compliance with the provisions of this Code concerning minimum lot size, lot width, lot frontage, minimum usable open space per dwelling unit, and front yard, side yard, and rear yard inclusive, applicable to the lot from which such transfer is made. (Illustrated in Appendix 2 of this Code.)</w:t>
      </w:r>
      <w:r w:rsidDel="00000000" w:rsidR="00000000" w:rsidRPr="00000000">
        <w:rPr>
          <w:rFonts w:ascii="Open Sans" w:cs="Open Sans" w:eastAsia="Open Sans" w:hAnsi="Open Sans"/>
          <w:color w:val="ff0000"/>
          <w:rtl w:val="0"/>
        </w:rPr>
        <w:t xml:space="preserve">,</w:t>
      </w:r>
      <w:r w:rsidDel="00000000" w:rsidR="00000000" w:rsidRPr="00000000">
        <w:rPr>
          <w:rFonts w:ascii="Open Sans" w:cs="Open Sans" w:eastAsia="Open Sans" w:hAnsi="Open Sans"/>
          <w:color w:val="313335"/>
          <w:rtl w:val="0"/>
        </w:rPr>
        <w:t xml:space="preserve"> </w:t>
      </w:r>
      <w:r w:rsidDel="00000000" w:rsidR="00000000" w:rsidRPr="00000000">
        <w:rPr>
          <w:rFonts w:ascii="Open Sans" w:cs="Open Sans" w:eastAsia="Open Sans" w:hAnsi="Open Sans"/>
          <w:color w:val="ff0000"/>
          <w:rtl w:val="0"/>
        </w:rPr>
        <w:t xml:space="preserve">and</w:t>
      </w:r>
    </w:p>
    <w:p w:rsidR="00000000" w:rsidDel="00000000" w:rsidP="00000000" w:rsidRDefault="00000000" w:rsidRPr="00000000" w14:paraId="0000001E">
      <w:pPr>
        <w:numPr>
          <w:ilvl w:val="0"/>
          <w:numId w:val="1"/>
        </w:numPr>
        <w:shd w:fill="ffffff" w:val="clear"/>
        <w:spacing w:after="40" w:lineRule="auto"/>
        <w:ind w:left="720" w:right="120" w:hanging="360"/>
        <w:jc w:val="left"/>
        <w:rPr>
          <w:rFonts w:ascii="Open Sans" w:cs="Open Sans" w:eastAsia="Open Sans" w:hAnsi="Open Sans"/>
          <w:color w:val="313335"/>
        </w:rPr>
      </w:pPr>
      <w:r w:rsidDel="00000000" w:rsidR="00000000" w:rsidRPr="00000000">
        <w:rPr>
          <w:rFonts w:ascii="Open Sans" w:cs="Open Sans" w:eastAsia="Open Sans" w:hAnsi="Open Sans"/>
          <w:color w:val="ff0000"/>
          <w:rtl w:val="0"/>
        </w:rPr>
        <w:t xml:space="preserve">any area of water and associated submerged land or tidal flat lying below the high water mark of any navigable river or stream, any Great Pond, or any portion of the Atlantic Ocean within Boston.</w:t>
      </w:r>
    </w:p>
    <w:p w:rsidR="00000000" w:rsidDel="00000000" w:rsidP="00000000" w:rsidRDefault="00000000" w:rsidRPr="00000000" w14:paraId="0000001F">
      <w:pPr>
        <w:shd w:fill="ffffff" w:val="clear"/>
        <w:spacing w:after="40" w:lineRule="auto"/>
        <w:ind w:left="0" w:right="120" w:firstLine="0"/>
        <w:jc w:val="left"/>
        <w:rPr>
          <w:rFonts w:ascii="Open Sans" w:cs="Open Sans" w:eastAsia="Open Sans" w:hAnsi="Open Sans"/>
          <w:color w:val="313335"/>
        </w:rPr>
      </w:pPr>
      <w:r w:rsidDel="00000000" w:rsidR="00000000" w:rsidRPr="00000000">
        <w:rPr>
          <w:rtl w:val="0"/>
        </w:rPr>
      </w:r>
    </w:p>
    <w:p w:rsidR="00000000" w:rsidDel="00000000" w:rsidP="00000000" w:rsidRDefault="00000000" w:rsidRPr="00000000" w14:paraId="00000020">
      <w:pPr>
        <w:shd w:fill="ffffff" w:val="clear"/>
        <w:spacing w:after="200" w:lineRule="auto"/>
        <w:ind w:left="0" w:firstLine="0"/>
        <w:rPr>
          <w:rFonts w:ascii="Open Sans" w:cs="Open Sans" w:eastAsia="Open Sans" w:hAnsi="Open Sans"/>
          <w:color w:val="313335"/>
        </w:rPr>
      </w:pPr>
      <w:r w:rsidDel="00000000" w:rsidR="00000000" w:rsidRPr="00000000">
        <w:rPr>
          <w:rFonts w:ascii="Open Sans" w:cs="Open Sans" w:eastAsia="Open Sans" w:hAnsi="Open Sans"/>
          <w:b w:val="1"/>
          <w:color w:val="313335"/>
          <w:rtl w:val="0"/>
        </w:rPr>
        <w:t xml:space="preserve">Flowed Tidelands.</w:t>
      </w:r>
      <w:r w:rsidDel="00000000" w:rsidR="00000000" w:rsidRPr="00000000">
        <w:rPr>
          <w:rFonts w:ascii="Open Sans" w:cs="Open Sans" w:eastAsia="Open Sans" w:hAnsi="Open Sans"/>
          <w:color w:val="313335"/>
          <w:rtl w:val="0"/>
        </w:rPr>
        <w:t xml:space="preserve"> Present submerged lands and tidal flats which are subject to tidal action at the time of license application under Chapter 91.</w:t>
      </w:r>
    </w:p>
    <w:p w:rsidR="00000000" w:rsidDel="00000000" w:rsidP="00000000" w:rsidRDefault="00000000" w:rsidRPr="00000000" w14:paraId="00000021">
      <w:pPr>
        <w:rPr>
          <w:rFonts w:ascii="Open Sans" w:cs="Open Sans" w:eastAsia="Open Sans" w:hAnsi="Open Sans"/>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